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framePr w:w="0" w:wrap="auto" w:vAnchor="margin" w:hAnchor="text" w:yAlign="inline"/>
        <w:widowControl/>
        <w:shd w:val="clear" w:color="auto" w:fill="FFFFFF"/>
        <w:spacing w:before="100" w:after="24" w:line="360" w:lineRule="atLeast"/>
        <w:jc w:val="left"/>
        <w:rPr>
          <w:rFonts w:ascii="SimSun-ExtB" w:hAnsi="SimSun-ExtB" w:eastAsia="SimSun-ExtB" w:cs="SimSun-ExtB"/>
          <w:outline w:val="0"/>
          <w:color w:val="000000"/>
          <w:sz w:val="26"/>
          <w:szCs w:val="26"/>
          <w:u w:color="000000"/>
          <w:shd w:val="clear" w:color="auto" w:fill="FFFFFF"/>
          <w:lang w:val="en-US"/>
        </w:rPr>
      </w:pPr>
      <w:r>
        <w:rPr>
          <w:rFonts w:ascii="微软雅黑" w:hAnsi="微软雅黑" w:eastAsia="微软雅黑" w:cs="微软雅黑"/>
          <w:outline w:val="0"/>
          <w:color w:val="000000"/>
          <w:kern w:val="0"/>
          <w:sz w:val="26"/>
          <w:szCs w:val="26"/>
          <w:u w:color="000000"/>
          <w:rtl w:val="0"/>
          <w:lang w:val="zh-TW" w:eastAsia="zh-TW"/>
        </w:rPr>
        <w:t>学位论文中文题目：</w:t>
      </w:r>
      <w:r>
        <w:rPr>
          <w:rFonts w:ascii="SimSun-ExtB" w:hAnsi="SimSun-ExtB" w:eastAsia="SimSun-ExtB" w:cs="SimSun-ExtB"/>
          <w:outline w:val="0"/>
          <w:color w:val="000000"/>
          <w:sz w:val="26"/>
          <w:szCs w:val="26"/>
          <w:u w:color="000000"/>
          <w:shd w:val="clear" w:color="auto" w:fill="FFFFFF"/>
          <w:rtl w:val="0"/>
          <w:lang w:val="en-US"/>
        </w:rPr>
        <w:t xml:space="preserve"> </w:t>
      </w:r>
    </w:p>
    <w:p>
      <w:pPr>
        <w:pStyle w:val="7"/>
        <w:framePr w:w="0" w:wrap="auto" w:vAnchor="margin" w:hAnchor="text" w:yAlign="inline"/>
        <w:widowControl/>
        <w:shd w:val="clear" w:color="auto" w:fill="FFFFFF"/>
        <w:spacing w:before="100" w:after="24" w:line="360" w:lineRule="atLeast"/>
        <w:jc w:val="left"/>
        <w:rPr>
          <w:rFonts w:ascii="SimSun-ExtB" w:hAnsi="SimSun-ExtB" w:eastAsia="SimSun-ExtB" w:cs="SimSun-ExtB"/>
          <w:outline w:val="0"/>
          <w:color w:val="000000"/>
          <w:sz w:val="26"/>
          <w:szCs w:val="26"/>
          <w:u w:color="000000"/>
          <w:shd w:val="clear" w:color="auto" w:fill="FFFFFF"/>
        </w:rPr>
      </w:pPr>
      <w:r>
        <w:rPr>
          <w:rFonts w:ascii="SimSun-ExtB" w:hAnsi="SimSun-ExtB" w:eastAsia="SimSun-ExtB" w:cs="SimSun-ExtB"/>
          <w:sz w:val="26"/>
          <w:szCs w:val="26"/>
          <w:shd w:val="clear" w:color="auto" w:fill="FFFFFF"/>
          <w:rtl w:val="0"/>
          <w:lang w:val="en-US"/>
        </w:rPr>
        <w:t>守卫关键字引导的灰盒模糊测试</w:t>
      </w:r>
    </w:p>
    <w:p>
      <w:pPr>
        <w:pStyle w:val="7"/>
        <w:framePr w:w="0" w:wrap="auto" w:vAnchor="margin" w:hAnchor="text" w:yAlign="inline"/>
        <w:widowControl/>
        <w:shd w:val="clear" w:color="auto" w:fill="FFFFFF"/>
        <w:spacing w:before="100" w:after="24" w:line="360" w:lineRule="atLeast"/>
        <w:jc w:val="left"/>
        <w:rPr>
          <w:rFonts w:ascii="SimSun-ExtB" w:hAnsi="SimSun-ExtB" w:eastAsia="SimSun-ExtB" w:cs="SimSun-ExtB"/>
          <w:outline w:val="0"/>
          <w:color w:val="000000"/>
          <w:kern w:val="0"/>
          <w:sz w:val="26"/>
          <w:szCs w:val="26"/>
          <w:u w:color="000000"/>
          <w:lang w:val="en-US"/>
        </w:rPr>
      </w:pPr>
      <w:r>
        <w:rPr>
          <w:rFonts w:ascii="微软雅黑" w:hAnsi="微软雅黑" w:eastAsia="微软雅黑" w:cs="微软雅黑"/>
          <w:outline w:val="0"/>
          <w:color w:val="000000"/>
          <w:kern w:val="0"/>
          <w:sz w:val="26"/>
          <w:szCs w:val="26"/>
          <w:u w:color="000000"/>
          <w:rtl w:val="0"/>
          <w:lang w:val="zh-TW" w:eastAsia="zh-TW"/>
        </w:rPr>
        <w:t>学位论文作者中文姓名：</w:t>
      </w:r>
      <w:r>
        <w:rPr>
          <w:rFonts w:ascii="SimSun-ExtB" w:hAnsi="SimSun-ExtB" w:eastAsia="SimSun-ExtB" w:cs="SimSun-ExtB"/>
          <w:outline w:val="0"/>
          <w:color w:val="000000"/>
          <w:kern w:val="0"/>
          <w:sz w:val="26"/>
          <w:szCs w:val="26"/>
          <w:u w:color="000000"/>
          <w:rtl w:val="0"/>
          <w:lang w:val="en-US"/>
        </w:rPr>
        <w:t xml:space="preserve"> </w:t>
      </w:r>
    </w:p>
    <w:p>
      <w:pPr>
        <w:pStyle w:val="7"/>
        <w:framePr w:w="0" w:wrap="auto" w:vAnchor="margin" w:hAnchor="text" w:yAlign="inline"/>
        <w:widowControl/>
        <w:shd w:val="clear" w:color="auto" w:fill="FFFFFF"/>
        <w:spacing w:before="100" w:after="24" w:line="360" w:lineRule="atLeast"/>
        <w:jc w:val="left"/>
        <w:rPr>
          <w:rFonts w:ascii="SimSun-ExtB" w:hAnsi="SimSun-ExtB" w:eastAsia="SimSun-ExtB" w:cs="SimSun-ExtB"/>
          <w:outline w:val="0"/>
          <w:color w:val="000000"/>
          <w:kern w:val="0"/>
          <w:sz w:val="26"/>
          <w:szCs w:val="26"/>
          <w:u w:color="000000"/>
        </w:rPr>
      </w:pPr>
      <w:r>
        <w:rPr>
          <w:rFonts w:ascii="SimSun-ExtB" w:hAnsi="SimSun-ExtB" w:eastAsia="SimSun-ExtB" w:cs="SimSun-ExtB"/>
          <w:kern w:val="0"/>
          <w:sz w:val="26"/>
          <w:szCs w:val="26"/>
          <w:rtl w:val="0"/>
          <w:lang w:val="zh-CN" w:eastAsia="zh-CN"/>
        </w:rPr>
        <w:t>李润东</w:t>
      </w:r>
    </w:p>
    <w:p>
      <w:pPr>
        <w:pStyle w:val="8"/>
        <w:framePr w:w="0" w:wrap="auto" w:vAnchor="margin" w:hAnchor="text" w:yAlign="inline"/>
        <w:shd w:val="clear" w:color="auto" w:fill="FFFFFF"/>
        <w:spacing w:before="0" w:after="0" w:line="300" w:lineRule="atLeast"/>
        <w:rPr>
          <w:rFonts w:ascii="微软雅黑" w:hAnsi="微软雅黑" w:eastAsia="微软雅黑" w:cs="微软雅黑"/>
          <w:outline w:val="0"/>
          <w:color w:val="000000"/>
          <w:sz w:val="26"/>
          <w:szCs w:val="26"/>
          <w:u w:color="000000"/>
          <w:lang w:val="zh-TW" w:eastAsia="zh-TW"/>
        </w:rPr>
      </w:pPr>
      <w:r>
        <w:rPr>
          <w:rFonts w:ascii="微软雅黑" w:hAnsi="微软雅黑" w:eastAsia="微软雅黑" w:cs="微软雅黑"/>
          <w:outline w:val="0"/>
          <w:color w:val="000000"/>
          <w:sz w:val="26"/>
          <w:szCs w:val="26"/>
          <w:u w:color="000000"/>
          <w:rtl w:val="0"/>
          <w:lang w:val="zh-TW" w:eastAsia="zh-TW"/>
        </w:rPr>
        <w:t>学位论文中文摘要：</w:t>
      </w:r>
    </w:p>
    <w:p>
      <w:pPr>
        <w:pStyle w:val="8"/>
        <w:framePr w:w="0" w:wrap="auto" w:vAnchor="margin" w:hAnchor="text" w:yAlign="inline"/>
        <w:shd w:val="clear" w:color="auto" w:fill="FFFFFF"/>
        <w:spacing w:before="0" w:after="0" w:line="300" w:lineRule="atLeast"/>
        <w:rPr>
          <w:rFonts w:ascii="微软雅黑" w:hAnsi="微软雅黑" w:eastAsia="微软雅黑" w:cs="微软雅黑"/>
          <w:outline w:val="0"/>
          <w:color w:val="000000"/>
          <w:sz w:val="26"/>
          <w:szCs w:val="26"/>
          <w:u w:color="000000"/>
          <w:lang w:val="zh-TW" w:eastAsia="zh-TW"/>
        </w:rPr>
      </w:pPr>
      <w:r>
        <w:rPr>
          <w:rFonts w:ascii="微软雅黑" w:hAnsi="微软雅黑" w:eastAsia="微软雅黑" w:cs="微软雅黑"/>
          <w:outline w:val="0"/>
          <w:color w:val="000000"/>
          <w:sz w:val="26"/>
          <w:szCs w:val="26"/>
          <w:u w:color="000000"/>
          <w:rtl w:val="0"/>
          <w:lang w:val="zh-TW" w:eastAsia="zh-TW"/>
        </w:rPr>
        <w:t>程序指定位置的错误重现对定向测试技术提出了更高的要求，它不仅要求测试技术给出一个可以覆盖缺陷目标的输入，还要求这个输入在覆盖目标位置时引发特定的程序异常状态。近年来，定向灰盒模糊测试技术（DGF，Directed Greybox Fuzzing）逐渐展示出其在解决这类问题上的潜力。给定一个目标位置，定向灰盒模糊测试可以快速生成较多可覆盖缺陷目标位置的输入，并且每一个输入在到达目标位置时都引发了不同的程序状态。然而现有的定向模糊测试难以测试一些被结构化字段守卫的程序位置，我们将这些结构化字段称作守卫关键字。只有包含这些守卫关键字的输入才可能使程序到达目标位置。由于缺乏守卫关键字的信息，现有的定向灰盒模糊测试技术无法根据目标位置进行恰当的输入选择、排序以及字典生成，当用户也对这两者难以处理时模糊测试将难以实行。此外，定向灰盒模糊测试在使用变异技术生成新输入时可能会破坏输入中的守卫关键字，导致新的输入偏离甚至远离目标位置。针对定向灰盒模糊测试的不足，我们提出了基于守卫关键字的提取方法，结合该方法我们提出了全新的守卫关键字引导的灰盒模糊测试，并实现了相应的工具GTFuzz。对真实软件的评估实验表明GTFuzz比当前先进的模糊测试工具（如：AFL、AFLGO和FairFuzz）在目标位置覆盖、崩溃重现和漏洞暴露上更加有效。另外，GTFuzz在软件项目LibXML2和MJS中发现了23个之前未被报告的新漏洞。</w:t>
      </w:r>
    </w:p>
    <w:p>
      <w:pPr>
        <w:pStyle w:val="7"/>
        <w:framePr w:w="0" w:wrap="auto" w:vAnchor="margin" w:hAnchor="text" w:yAlign="inline"/>
        <w:widowControl/>
        <w:spacing w:before="100" w:after="21" w:line="315" w:lineRule="atLeast"/>
        <w:rPr>
          <w:rFonts w:ascii="微软雅黑" w:hAnsi="微软雅黑" w:eastAsia="微软雅黑" w:cs="微软雅黑"/>
          <w:outline w:val="0"/>
          <w:color w:val="000000"/>
          <w:kern w:val="0"/>
          <w:sz w:val="26"/>
          <w:szCs w:val="26"/>
          <w:u w:color="000000"/>
          <w:lang w:val="zh-TW" w:eastAsia="zh-TW"/>
        </w:rPr>
      </w:pPr>
      <w:r>
        <w:rPr>
          <w:rFonts w:ascii="微软雅黑" w:hAnsi="微软雅黑" w:eastAsia="微软雅黑" w:cs="微软雅黑"/>
          <w:outline w:val="0"/>
          <w:color w:val="000000"/>
          <w:kern w:val="0"/>
          <w:sz w:val="26"/>
          <w:szCs w:val="26"/>
          <w:u w:color="000000"/>
          <w:rtl w:val="0"/>
          <w:lang w:val="zh-TW" w:eastAsia="zh-TW"/>
        </w:rPr>
        <w:t>学位论文中文关键词：</w:t>
      </w:r>
    </w:p>
    <w:p>
      <w:pPr>
        <w:pStyle w:val="7"/>
        <w:framePr w:w="0" w:wrap="auto" w:vAnchor="margin" w:hAnchor="text" w:yAlign="inline"/>
        <w:widowControl/>
        <w:spacing w:before="100" w:after="21" w:line="315" w:lineRule="atLeast"/>
        <w:rPr>
          <w:rFonts w:ascii="SimSun-ExtB" w:hAnsi="SimSun-ExtB" w:eastAsia="SimSun-ExtB" w:cs="SimSun-ExtB"/>
          <w:outline w:val="0"/>
          <w:color w:val="000000"/>
          <w:sz w:val="26"/>
          <w:szCs w:val="26"/>
          <w:u w:color="000000"/>
          <w:shd w:val="clear" w:color="auto" w:fill="FFFFFF"/>
          <w:lang w:val="zh-TW" w:eastAsia="zh-TW"/>
        </w:rPr>
      </w:pPr>
      <w:r>
        <w:rPr>
          <w:rFonts w:ascii="微软雅黑" w:hAnsi="微软雅黑" w:eastAsia="微软雅黑" w:cs="微软雅黑"/>
          <w:outline w:val="0"/>
          <w:color w:val="000000"/>
          <w:kern w:val="0"/>
          <w:sz w:val="26"/>
          <w:szCs w:val="26"/>
          <w:u w:color="000000"/>
          <w:rtl w:val="0"/>
          <w:lang w:val="zh-TW" w:eastAsia="zh-TW"/>
        </w:rPr>
        <w:t>错误重现，定向灰盒模糊测试，静态分析</w:t>
      </w:r>
    </w:p>
    <w:p>
      <w:pPr>
        <w:pStyle w:val="7"/>
        <w:framePr w:w="0" w:wrap="auto" w:vAnchor="margin" w:hAnchor="text" w:yAlign="inline"/>
        <w:widowControl/>
        <w:shd w:val="clear" w:color="auto" w:fill="FFFFFF"/>
        <w:spacing w:before="100" w:after="24" w:line="360" w:lineRule="atLeast"/>
        <w:jc w:val="left"/>
        <w:rPr>
          <w:rFonts w:ascii="微软雅黑" w:hAnsi="微软雅黑" w:eastAsia="微软雅黑" w:cs="微软雅黑"/>
          <w:outline w:val="0"/>
          <w:color w:val="000000"/>
          <w:kern w:val="0"/>
          <w:sz w:val="26"/>
          <w:szCs w:val="26"/>
          <w:u w:color="000000"/>
          <w:lang w:val="zh-TW" w:eastAsia="zh-TW"/>
        </w:rPr>
      </w:pPr>
      <w:r>
        <w:rPr>
          <w:rFonts w:ascii="微软雅黑" w:hAnsi="微软雅黑" w:eastAsia="微软雅黑" w:cs="微软雅黑"/>
          <w:outline w:val="0"/>
          <w:color w:val="000000"/>
          <w:kern w:val="0"/>
          <w:sz w:val="26"/>
          <w:szCs w:val="26"/>
          <w:u w:color="000000"/>
          <w:rtl w:val="0"/>
          <w:lang w:val="zh-TW" w:eastAsia="zh-TW"/>
        </w:rPr>
        <w:t>学位论文英文题目：</w:t>
      </w:r>
    </w:p>
    <w:p>
      <w:pPr>
        <w:pStyle w:val="7"/>
        <w:framePr w:w="0" w:wrap="auto" w:vAnchor="margin" w:hAnchor="text" w:yAlign="inline"/>
        <w:widowControl/>
        <w:shd w:val="clear" w:color="auto" w:fill="FFFFFF"/>
        <w:spacing w:before="100" w:after="24" w:line="360" w:lineRule="atLeast"/>
        <w:jc w:val="left"/>
        <w:rPr>
          <w:rFonts w:ascii="微软雅黑" w:hAnsi="微软雅黑" w:eastAsia="微软雅黑" w:cs="微软雅黑"/>
          <w:outline w:val="0"/>
          <w:color w:val="000000"/>
          <w:kern w:val="0"/>
          <w:sz w:val="26"/>
          <w:szCs w:val="26"/>
          <w:u w:color="000000"/>
          <w:lang w:val="zh-TW" w:eastAsia="zh-TW"/>
        </w:rPr>
      </w:pPr>
      <w:r>
        <w:rPr>
          <w:rFonts w:ascii="微软雅黑" w:hAnsi="微软雅黑" w:eastAsia="微软雅黑" w:cs="微软雅黑"/>
          <w:outline w:val="0"/>
          <w:color w:val="000000"/>
          <w:kern w:val="0"/>
          <w:sz w:val="26"/>
          <w:szCs w:val="26"/>
          <w:u w:color="000000"/>
          <w:rtl w:val="0"/>
          <w:lang w:val="zh-TW" w:eastAsia="zh-TW"/>
        </w:rPr>
        <w:t>Guard Token Directed Grey-box Fuzzing</w:t>
      </w:r>
    </w:p>
    <w:p>
      <w:pPr>
        <w:pStyle w:val="7"/>
        <w:framePr w:w="0" w:wrap="auto" w:vAnchor="margin" w:hAnchor="text" w:yAlign="inline"/>
        <w:widowControl/>
        <w:spacing w:before="100" w:after="21" w:line="315" w:lineRule="atLeast"/>
        <w:rPr>
          <w:rFonts w:ascii="微软雅黑" w:hAnsi="微软雅黑" w:eastAsia="微软雅黑" w:cs="微软雅黑"/>
          <w:outline w:val="0"/>
          <w:color w:val="000000"/>
          <w:kern w:val="0"/>
          <w:sz w:val="26"/>
          <w:szCs w:val="26"/>
          <w:u w:color="000000"/>
          <w:lang w:val="zh-TW" w:eastAsia="zh-TW"/>
        </w:rPr>
      </w:pPr>
      <w:r>
        <w:rPr>
          <w:rFonts w:ascii="微软雅黑" w:hAnsi="微软雅黑" w:eastAsia="微软雅黑" w:cs="微软雅黑"/>
          <w:outline w:val="0"/>
          <w:color w:val="000000"/>
          <w:kern w:val="0"/>
          <w:sz w:val="26"/>
          <w:szCs w:val="26"/>
          <w:u w:color="000000"/>
          <w:rtl w:val="0"/>
          <w:lang w:val="zh-TW" w:eastAsia="zh-TW"/>
        </w:rPr>
        <w:t>学位论文作者英文姓名：</w:t>
      </w:r>
    </w:p>
    <w:p>
      <w:pPr>
        <w:pStyle w:val="7"/>
        <w:framePr w:w="0" w:wrap="auto" w:vAnchor="margin" w:hAnchor="text" w:yAlign="inline"/>
        <w:widowControl/>
        <w:spacing w:before="100" w:after="21" w:line="315" w:lineRule="atLeast"/>
        <w:rPr>
          <w:lang w:val="zh-TW" w:eastAsia="zh-TW"/>
        </w:rPr>
      </w:pPr>
      <w:r>
        <w:rPr>
          <w:rFonts w:ascii="微软雅黑" w:hAnsi="微软雅黑" w:eastAsia="微软雅黑" w:cs="微软雅黑"/>
          <w:outline w:val="0"/>
          <w:color w:val="000000"/>
          <w:kern w:val="0"/>
          <w:sz w:val="26"/>
          <w:szCs w:val="26"/>
          <w:u w:color="000000"/>
          <w:rtl w:val="0"/>
          <w:lang w:val="zh-TW" w:eastAsia="zh-TW"/>
        </w:rPr>
        <w:t>Rundong Li</w:t>
      </w:r>
    </w:p>
    <w:p>
      <w:pPr>
        <w:pStyle w:val="7"/>
        <w:framePr w:w="0" w:wrap="auto" w:vAnchor="margin" w:hAnchor="text" w:yAlign="inline"/>
        <w:widowControl/>
        <w:shd w:val="clear" w:color="auto" w:fill="FFFFFF"/>
        <w:spacing w:before="100" w:after="24" w:line="360" w:lineRule="atLeast"/>
        <w:jc w:val="left"/>
        <w:rPr>
          <w:rFonts w:ascii="微软雅黑" w:hAnsi="微软雅黑" w:eastAsia="微软雅黑" w:cs="微软雅黑"/>
          <w:outline w:val="0"/>
          <w:color w:val="000000"/>
          <w:kern w:val="0"/>
          <w:sz w:val="26"/>
          <w:szCs w:val="26"/>
          <w:u w:color="000000"/>
          <w:lang w:val="zh-TW" w:eastAsia="zh-TW"/>
        </w:rPr>
      </w:pPr>
      <w:r>
        <w:rPr>
          <w:rFonts w:ascii="微软雅黑" w:hAnsi="微软雅黑" w:eastAsia="微软雅黑" w:cs="微软雅黑"/>
          <w:outline w:val="0"/>
          <w:color w:val="000000"/>
          <w:kern w:val="0"/>
          <w:sz w:val="26"/>
          <w:szCs w:val="26"/>
          <w:u w:color="000000"/>
          <w:rtl w:val="0"/>
          <w:lang w:val="zh-TW" w:eastAsia="zh-TW"/>
        </w:rPr>
        <w:t>学位论文英文摘要：</w:t>
      </w:r>
    </w:p>
    <w:p>
      <w:pPr>
        <w:pStyle w:val="7"/>
        <w:framePr w:w="0" w:wrap="auto" w:vAnchor="margin" w:hAnchor="text" w:yAlign="inline"/>
        <w:widowControl/>
        <w:shd w:val="clear" w:color="auto" w:fill="FFFFFF"/>
        <w:spacing w:before="100" w:after="24" w:line="360" w:lineRule="atLeast"/>
        <w:jc w:val="left"/>
        <w:rPr>
          <w:rFonts w:ascii="微软雅黑" w:hAnsi="微软雅黑" w:eastAsia="微软雅黑" w:cs="微软雅黑"/>
          <w:outline w:val="0"/>
          <w:color w:val="000000"/>
          <w:kern w:val="0"/>
          <w:sz w:val="26"/>
          <w:szCs w:val="26"/>
          <w:u w:color="000000"/>
          <w:lang w:val="zh-TW" w:eastAsia="zh-TW"/>
        </w:rPr>
      </w:pPr>
      <w:r>
        <w:rPr>
          <w:rFonts w:ascii="微软雅黑" w:hAnsi="微软雅黑" w:eastAsia="微软雅黑" w:cs="微软雅黑"/>
          <w:outline w:val="0"/>
          <w:color w:val="000000"/>
          <w:kern w:val="0"/>
          <w:sz w:val="26"/>
          <w:szCs w:val="26"/>
          <w:u w:color="000000"/>
          <w:rtl w:val="0"/>
          <w:lang w:val="zh-TW" w:eastAsia="zh-TW"/>
        </w:rPr>
        <w:t>The reproduction of bug that located in user-specified location in program presents a deeper challenge to the directed testing, which requires not only an input that covers the defect target, but also an input that triggers a specific program exception state when arriving at the target location. In recent years, DGF (Directed Greybox Fuzzing) has gradually demonstrated its potential to solve this problem. Given a target location, DGF can generate many inputs that can cover the defect target site in a short time, each of which triggers different program states when the target site is arrived.  However, DGF can hardly reach a target location guarded by certain syntax tokens~(Guard Tokens, GTs for short).Only the test inputs containing Guard Tokens are likely to reach the target locations. Because of lacking the information of GTs, DGF does not provide the function of input selection, prioritization, and dictionary extraction based on the target location, fuzz testing will be difficult to implement when a user has difficulty to provide appropriate inputs and dictionaries. Furthermore, DGF may destroy GTs in the input when generating new input using mutation technique, and it would result in making the new input to be far away from the target location. In view of these shortcomings of DGF, we proposed a GTs extraction method based on the target site. And combined with this method, we proposed Guard Token Directed Grey-Box Fuzzing and implemented the corresponding tool GTFuzz. Experiments on real-world software show that GTFuzz can reach the target locations, reproduce crashes, and expose bugs more efficiently than the state-of-the-art grey-box fuzzers (i.e.~AFL, AFLGO and FairFuzz). Moreover, GTFuzz identified 23 previously undiscovered bugs in LibXML2 and MJS.</w:t>
      </w:r>
    </w:p>
    <w:p>
      <w:pPr>
        <w:pStyle w:val="7"/>
        <w:framePr w:w="0" w:wrap="auto" w:vAnchor="margin" w:hAnchor="text" w:yAlign="inline"/>
        <w:widowControl/>
        <w:spacing w:before="100" w:after="21" w:line="315" w:lineRule="atLeast"/>
        <w:rPr>
          <w:rFonts w:ascii="微软雅黑" w:hAnsi="微软雅黑" w:eastAsia="微软雅黑" w:cs="微软雅黑"/>
          <w:outline w:val="0"/>
          <w:color w:val="000000"/>
          <w:kern w:val="0"/>
          <w:sz w:val="26"/>
          <w:szCs w:val="26"/>
          <w:u w:color="000000"/>
          <w:lang w:val="zh-TW" w:eastAsia="zh-TW"/>
        </w:rPr>
      </w:pPr>
      <w:r>
        <w:rPr>
          <w:rFonts w:ascii="微软雅黑" w:hAnsi="微软雅黑" w:eastAsia="微软雅黑" w:cs="微软雅黑"/>
          <w:outline w:val="0"/>
          <w:color w:val="000000"/>
          <w:kern w:val="0"/>
          <w:sz w:val="26"/>
          <w:szCs w:val="26"/>
          <w:u w:color="000000"/>
          <w:rtl w:val="0"/>
          <w:lang w:val="zh-TW" w:eastAsia="zh-TW"/>
        </w:rPr>
        <w:t>学位论文英文关键词：</w:t>
      </w:r>
    </w:p>
    <w:p>
      <w:pPr>
        <w:pStyle w:val="7"/>
        <w:framePr w:w="0" w:wrap="auto" w:vAnchor="margin" w:hAnchor="text" w:yAlign="inline"/>
        <w:widowControl/>
        <w:spacing w:before="100" w:after="21" w:line="315" w:lineRule="atLeast"/>
        <w:rPr>
          <w:rFonts w:ascii="SimSun-ExtB" w:hAnsi="SimSun-ExtB" w:eastAsia="SimSun-ExtB" w:cs="SimSun-ExtB"/>
          <w:outline w:val="0"/>
          <w:color w:val="000000"/>
          <w:sz w:val="26"/>
          <w:szCs w:val="26"/>
          <w:u w:color="000000"/>
          <w:shd w:val="clear" w:color="auto" w:fill="FFFFFF"/>
          <w:lang w:val="zh-TW" w:eastAsia="zh-TW"/>
        </w:rPr>
      </w:pPr>
      <w:r>
        <w:rPr>
          <w:rFonts w:ascii="微软雅黑" w:hAnsi="微软雅黑" w:eastAsia="微软雅黑" w:cs="微软雅黑"/>
          <w:outline w:val="0"/>
          <w:color w:val="000000"/>
          <w:kern w:val="0"/>
          <w:sz w:val="26"/>
          <w:szCs w:val="26"/>
          <w:u w:color="000000"/>
          <w:rtl w:val="0"/>
          <w:lang w:val="zh-TW" w:eastAsia="zh-TW"/>
        </w:rPr>
        <w:t>Bugs Reproduction,  Directed Grey-box Fuzzing, Static Analysis</w:t>
      </w:r>
    </w:p>
    <w:p>
      <w:pPr>
        <w:pStyle w:val="7"/>
        <w:framePr w:w="0" w:wrap="auto" w:vAnchor="margin" w:hAnchor="text" w:yAlign="inline"/>
        <w:widowControl/>
        <w:shd w:val="clear" w:color="auto" w:fill="FFFFFF"/>
        <w:spacing w:before="100" w:after="24" w:line="360" w:lineRule="atLeast"/>
        <w:jc w:val="left"/>
        <w:rPr>
          <w:rFonts w:ascii="微软雅黑" w:hAnsi="微软雅黑" w:eastAsia="微软雅黑" w:cs="微软雅黑"/>
          <w:outline w:val="0"/>
          <w:color w:val="000000"/>
          <w:kern w:val="0"/>
          <w:sz w:val="26"/>
          <w:szCs w:val="26"/>
          <w:u w:color="000000"/>
        </w:rPr>
      </w:pPr>
      <w:r>
        <w:rPr>
          <w:rFonts w:ascii="微软雅黑" w:hAnsi="微软雅黑" w:eastAsia="微软雅黑" w:cs="微软雅黑"/>
          <w:outline w:val="0"/>
          <w:color w:val="000000"/>
          <w:kern w:val="0"/>
          <w:sz w:val="26"/>
          <w:szCs w:val="26"/>
          <w:u w:color="000000"/>
          <w:rtl w:val="0"/>
          <w:lang w:val="zh-TW" w:eastAsia="zh-TW"/>
        </w:rPr>
        <w:t xml:space="preserve">所获相关成果列表 </w:t>
      </w:r>
      <w:r>
        <w:rPr>
          <w:rFonts w:ascii="微软雅黑" w:hAnsi="微软雅黑" w:eastAsia="微软雅黑" w:cs="微软雅黑"/>
          <w:outline w:val="0"/>
          <w:color w:val="000000"/>
          <w:kern w:val="0"/>
          <w:sz w:val="26"/>
          <w:szCs w:val="26"/>
          <w:u w:color="000000"/>
          <w:rtl w:val="0"/>
          <w:lang w:val="en-US"/>
        </w:rPr>
        <w:t>:</w:t>
      </w:r>
    </w:p>
    <w:p>
      <w:pPr>
        <w:pStyle w:val="7"/>
        <w:framePr w:w="0" w:wrap="auto" w:vAnchor="margin" w:hAnchor="text" w:yAlign="inline"/>
        <w:widowControl/>
        <w:spacing w:before="100" w:after="21" w:line="315" w:lineRule="atLeast"/>
        <w:ind w:left="62" w:firstLine="0"/>
        <w:rPr>
          <w:b/>
          <w:bCs/>
        </w:rPr>
      </w:pPr>
      <w:r>
        <w:rPr>
          <w:rFonts w:ascii="Calibri" w:hAnsi="Calibri"/>
          <w:rtl w:val="0"/>
          <w:lang w:val="en-US"/>
        </w:rPr>
        <w:t>[1]</w:t>
      </w:r>
      <w:r>
        <w:rPr>
          <w:rFonts w:ascii="Calibri" w:hAnsi="Calibri"/>
          <w:rtl w:val="0"/>
          <w:lang w:val="zh-CN" w:eastAsia="zh-CN"/>
        </w:rPr>
        <w:t xml:space="preserve"> </w:t>
      </w:r>
      <w:r>
        <w:rPr>
          <w:rFonts w:hint="eastAsia" w:ascii="Calibri" w:hAnsi="Calibri"/>
          <w:rtl w:val="0"/>
          <w:lang w:val="en-US"/>
        </w:rPr>
        <w:t xml:space="preserve">Xi Deng, Zhi Qiangzhang, </w:t>
      </w:r>
      <w:r>
        <w:rPr>
          <w:rFonts w:hint="eastAsia" w:ascii="Calibri" w:hAnsi="Calibri"/>
          <w:b/>
          <w:bCs/>
          <w:rtl w:val="0"/>
          <w:lang w:val="en-US"/>
        </w:rPr>
        <w:t>Rundong Li</w:t>
      </w:r>
      <w:r>
        <w:rPr>
          <w:rFonts w:hint="eastAsia" w:ascii="Calibri" w:hAnsi="Calibri"/>
          <w:rtl w:val="0"/>
          <w:lang w:val="en-US"/>
        </w:rPr>
        <w:t>, Jun Yan, and Jian Zhang. Combinatorial Testing of Browsers’ Support for Multimedia. IEEE Transaction on Reliability.</w:t>
      </w:r>
      <w:r>
        <w:rPr>
          <w:rFonts w:hint="default" w:ascii="Calibri" w:hAnsi="Calibri"/>
          <w:rtl w:val="0"/>
        </w:rPr>
        <w:t xml:space="preserve"> </w:t>
      </w:r>
      <w:r>
        <w:rPr>
          <w:rFonts w:hint="eastAsia" w:ascii="Calibri" w:hAnsi="Calibri"/>
          <w:rtl w:val="0"/>
          <w:lang w:val="en-US"/>
        </w:rPr>
        <w:t>Accepted,</w:t>
      </w:r>
      <w:r>
        <w:rPr>
          <w:rFonts w:hint="default" w:ascii="Calibri" w:hAnsi="Calibri"/>
          <w:rtl w:val="0"/>
        </w:rPr>
        <w:t xml:space="preserve"> </w:t>
      </w:r>
      <w:r>
        <w:rPr>
          <w:rFonts w:hint="eastAsia" w:ascii="Calibri" w:hAnsi="Calibri"/>
          <w:rtl w:val="0"/>
          <w:lang w:val="en-US"/>
        </w:rPr>
        <w:t>doi:</w:t>
      </w:r>
      <w:r>
        <w:rPr>
          <w:rFonts w:hint="default" w:ascii="Calibri" w:hAnsi="Calibri"/>
          <w:rtl w:val="0"/>
        </w:rPr>
        <w:t xml:space="preserve"> </w:t>
      </w:r>
      <w:r>
        <w:rPr>
          <w:rFonts w:hint="eastAsia" w:ascii="Calibri" w:hAnsi="Calibri"/>
          <w:rtl w:val="0"/>
          <w:lang w:val="en-US"/>
        </w:rPr>
        <w:t>10.1109/TR.2020.2975150,</w:t>
      </w:r>
      <w:r>
        <w:rPr>
          <w:rFonts w:hint="default" w:ascii="Calibri" w:hAnsi="Calibri"/>
          <w:rtl w:val="0"/>
        </w:rPr>
        <w:t xml:space="preserve"> </w:t>
      </w:r>
      <w:r>
        <w:rPr>
          <w:rFonts w:hint="eastAsia" w:ascii="Calibri" w:hAnsi="Calibri"/>
          <w:rtl w:val="0"/>
          <w:lang w:val="en-US"/>
        </w:rPr>
        <w:t>https://ieeexplore.ieee.org/document/9069482</w:t>
      </w:r>
    </w:p>
    <w:p>
      <w:pPr>
        <w:pStyle w:val="7"/>
        <w:framePr w:w="0" w:wrap="auto" w:vAnchor="margin" w:hAnchor="text" w:yAlign="inline"/>
        <w:widowControl/>
        <w:spacing w:before="100" w:after="21" w:line="315" w:lineRule="atLeast"/>
        <w:ind w:left="62" w:firstLine="0"/>
      </w:pPr>
      <w:r>
        <w:rPr>
          <w:rFonts w:ascii="Calibri" w:hAnsi="Calibri"/>
          <w:rtl w:val="0"/>
          <w:lang w:val="en-US"/>
        </w:rPr>
        <w:t xml:space="preserve">[2] </w:t>
      </w:r>
      <w:r>
        <w:rPr>
          <w:rFonts w:hint="eastAsia" w:ascii="Calibri" w:hAnsi="Calibri"/>
          <w:b/>
          <w:bCs/>
          <w:rtl w:val="0"/>
          <w:lang w:val="en-US"/>
        </w:rPr>
        <w:t>Rundong Li,</w:t>
      </w:r>
      <w:r>
        <w:rPr>
          <w:rFonts w:hint="eastAsia" w:ascii="Calibri" w:hAnsi="Calibri"/>
          <w:b w:val="0"/>
          <w:bCs w:val="0"/>
          <w:rtl w:val="0"/>
          <w:lang w:val="en-US"/>
        </w:rPr>
        <w:t xml:space="preserve"> Hongliang Liang, Liming Liu, Xutong Ma, Rong Qu, Jun Yan, Jian Zhang. Guard Token Directed Grey-Box Fuzzing. International Symposium on Software Reliability Engineering. Submitted.</w:t>
      </w:r>
    </w:p>
    <w:p>
      <w:pPr>
        <w:pStyle w:val="7"/>
        <w:framePr w:w="0" w:wrap="auto" w:vAnchor="margin" w:hAnchor="text" w:yAlign="inline"/>
        <w:widowControl/>
        <w:spacing w:before="100" w:after="21" w:line="315" w:lineRule="atLeast"/>
      </w:pPr>
      <w:bookmarkStart w:id="0" w:name="_GoBack"/>
      <w:bookmarkEnd w:id="0"/>
      <w:r>
        <w:rPr>
          <w:rFonts w:ascii="Arial Unicode MS" w:hAnsi="Arial Unicode MS" w:eastAsia="Arial Unicode MS" w:cs="Arial Unicode MS"/>
          <w:b w:val="0"/>
          <w:bCs w:val="0"/>
          <w:i w:val="0"/>
          <w:iCs w:val="0"/>
        </w:rPr>
        <w:br w:type="page"/>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ymbol">
    <w:altName w:val="Kingsoft Sign"/>
    <w:panose1 w:val="00000000000000000000"/>
    <w:charset w:val="02"/>
    <w:family w:val="roman"/>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Arial Unicode MS">
    <w:panose1 w:val="020B0604020202020204"/>
    <w:charset w:val="86"/>
    <w:family w:val="roman"/>
    <w:pitch w:val="default"/>
    <w:sig w:usb0="FFFFFFFF" w:usb1="E9FFFFFF" w:usb2="0000003F" w:usb3="00000000" w:csb0="603F01FF" w:csb1="FFFF0000"/>
  </w:font>
  <w:font w:name="微软雅黑">
    <w:altName w:val="汉仪旗黑"/>
    <w:panose1 w:val="00000000000000000000"/>
    <w:charset w:val="00"/>
    <w:family w:val="roman"/>
    <w:pitch w:val="default"/>
    <w:sig w:usb0="00000000" w:usb1="00000000" w:usb2="00000000" w:usb3="00000000" w:csb0="00000000" w:csb1="00000000"/>
  </w:font>
  <w:font w:name="SimSun-ExtB">
    <w:altName w:val="苹方-简"/>
    <w:panose1 w:val="00000000000000000000"/>
    <w:charset w:val="00"/>
    <w:family w:val="roman"/>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wrap="auto" w:vAnchor="margin" w:hAnchor="text" w:yAlign="inline"/>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isplayBackgroundShape w:val="1"/>
  <w:bordersDoNotSurroundHeader w:val="0"/>
  <w:bordersDoNotSurroundFooter w:val="0"/>
  <w:documentProtection w:enforcement="0"/>
  <w:defaultTabStop w:val="420"/>
  <w:noLineBreaksAfter w:lang="zh-CN" w:val="‘“(〔[{〈《「『【⦅〘〖«〝︵︷︹︻︽︿﹁﹃﹇﹙﹛﹝｢"/>
  <w:noLineBreaksBefore w:lang="zh-CN" w:val="’”)〕]}〉"/>
  <w:compat>
    <w:useFELayout/>
    <w:compatSetting w:name="compatibilityMode" w:uri="http://schemas.microsoft.com/office/word" w:val="15"/>
  </w:compat>
  <w:rsids>
    <w:rsidRoot w:val="00000000"/>
    <w:rsid w:val="7DFFCAC9"/>
    <w:rsid w:val="97FC0E82"/>
    <w:rsid w:val="DFFFE6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2">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3">
    <w:name w:val="Hyperlink"/>
    <w:qFormat/>
    <w:uiPriority w:val="0"/>
    <w:rPr>
      <w:u w:val="single"/>
    </w:rPr>
  </w:style>
  <w:style w:type="table" w:customStyle="1" w:styleId="5">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页眉与页脚"/>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paragraph" w:customStyle="1" w:styleId="7">
    <w:name w:val="正文 A"/>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Calibri" w:cs="Arial Unicode MS"/>
      <w:color w:val="000000"/>
      <w:spacing w:val="0"/>
      <w:w w:val="100"/>
      <w:kern w:val="2"/>
      <w:position w:val="0"/>
      <w:sz w:val="21"/>
      <w:szCs w:val="21"/>
      <w:u w:val="none" w:color="000000"/>
      <w:shd w:val="clear" w:color="auto" w:fill="auto"/>
      <w:vertAlign w:val="baseline"/>
      <w:lang w:val="en-US"/>
    </w:rPr>
  </w:style>
  <w:style w:type="paragraph" w:customStyle="1" w:styleId="8">
    <w:name w:val="普通(网站)1"/>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00" w:beforeAutospacing="0" w:after="100" w:afterAutospacing="0" w:line="240" w:lineRule="auto"/>
      <w:ind w:left="0" w:right="0" w:firstLine="0"/>
      <w:jc w:val="left"/>
      <w:outlineLvl w:val="9"/>
    </w:pPr>
    <w:rPr>
      <w:rFonts w:hint="eastAsia" w:ascii="Arial Unicode MS" w:hAnsi="Arial Unicode MS" w:eastAsia="Calibri" w:cs="Arial Unicode MS"/>
      <w:color w:val="000000"/>
      <w:spacing w:val="0"/>
      <w:w w:val="100"/>
      <w:kern w:val="0"/>
      <w:position w:val="0"/>
      <w:sz w:val="24"/>
      <w:szCs w:val="24"/>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Office_2.4.0.3964_F1E327BC-269C-435d-A152-05C5408002CA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2020-07-03T07:15:00Z</dcterms:created>
  <dc:creator>Data</dc:creator>
  <cp:lastModifiedBy>nico</cp:lastModifiedBy>
  <dcterms:modified xsi:type="dcterms:W3CDTF">2020-07-06T17:16:25Z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2052-2.4.0.3964</vt:lpwstr>
  </property>
</Properties>
</file>